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8CFF8" w14:textId="7D7692D9" w:rsidR="00367125" w:rsidRPr="003E01A4" w:rsidRDefault="003E01A4" w:rsidP="009962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right="-5"/>
        <w:jc w:val="center"/>
        <w:rPr>
          <w:rFonts w:ascii="Aptos" w:hAnsi="Aptos"/>
          <w:b/>
          <w:bCs/>
          <w:sz w:val="42"/>
          <w:szCs w:val="42"/>
        </w:rPr>
      </w:pPr>
      <w:r w:rsidRPr="003E01A4">
        <w:rPr>
          <w:rFonts w:ascii="Aptos" w:hAnsi="Aptos"/>
          <w:b/>
          <w:bCs/>
          <w:noProof/>
          <w:sz w:val="42"/>
          <w:szCs w:val="42"/>
        </w:rPr>
        <w:drawing>
          <wp:inline distT="0" distB="0" distL="0" distR="0" wp14:anchorId="48EC7F99" wp14:editId="49E70E8B">
            <wp:extent cx="2066925" cy="609701"/>
            <wp:effectExtent l="0" t="0" r="0" b="0"/>
            <wp:docPr id="1306175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75518" name="Picture 13061755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961" cy="62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4671" w14:textId="77777777" w:rsidR="00367125" w:rsidRPr="003E01A4" w:rsidRDefault="00367125" w:rsidP="003612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 w:right="-5"/>
        <w:jc w:val="center"/>
        <w:rPr>
          <w:rFonts w:ascii="Aptos" w:hAnsi="Aptos"/>
          <w:b/>
          <w:bCs/>
          <w:sz w:val="42"/>
          <w:szCs w:val="42"/>
        </w:rPr>
      </w:pPr>
    </w:p>
    <w:p w14:paraId="3A95C0F8" w14:textId="6F27CDC9" w:rsidR="00367125" w:rsidRPr="003E01A4" w:rsidRDefault="00240B62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right="-5"/>
        <w:jc w:val="center"/>
        <w:rPr>
          <w:rFonts w:ascii="Aptos" w:hAnsi="Aptos"/>
          <w:sz w:val="48"/>
          <w:szCs w:val="48"/>
        </w:rPr>
      </w:pPr>
      <w:r w:rsidRPr="00240B62">
        <w:rPr>
          <w:rFonts w:ascii="Aptos" w:hAnsi="Aptos"/>
          <w:sz w:val="48"/>
          <w:szCs w:val="48"/>
        </w:rPr>
        <w:t xml:space="preserve">Training Management System Buyer's Checklist </w:t>
      </w:r>
    </w:p>
    <w:p w14:paraId="5F51D72F" w14:textId="77777777" w:rsidR="00361257" w:rsidRPr="003E01A4" w:rsidRDefault="00361257" w:rsidP="003612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17"/>
        <w:rPr>
          <w:rFonts w:ascii="Aptos" w:hAnsi="Aptos"/>
        </w:rPr>
      </w:pPr>
    </w:p>
    <w:p w14:paraId="2BB10A47" w14:textId="77777777" w:rsidR="00361257" w:rsidRPr="003E01A4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17"/>
        <w:jc w:val="center"/>
        <w:rPr>
          <w:rFonts w:ascii="Aptos" w:hAnsi="Aptos"/>
          <w:sz w:val="28"/>
          <w:szCs w:val="28"/>
        </w:rPr>
      </w:pPr>
    </w:p>
    <w:p w14:paraId="40002911" w14:textId="53E5A328" w:rsidR="00361257" w:rsidRPr="00D922E1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b/>
          <w:bCs/>
          <w:sz w:val="32"/>
          <w:szCs w:val="32"/>
        </w:rPr>
      </w:pPr>
      <w:r w:rsidRPr="00D922E1">
        <w:rPr>
          <w:rFonts w:ascii="Aptos" w:hAnsi="Aptos"/>
          <w:b/>
          <w:bCs/>
          <w:sz w:val="32"/>
          <w:szCs w:val="32"/>
        </w:rPr>
        <w:t>How to use this checklist</w:t>
      </w:r>
    </w:p>
    <w:p w14:paraId="645FA0E6" w14:textId="77777777" w:rsidR="00361257" w:rsidRPr="003E01A4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</w:rPr>
      </w:pPr>
    </w:p>
    <w:p w14:paraId="30900EB6" w14:textId="0E51D171" w:rsidR="00361257" w:rsidRPr="003E01A4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</w:pPr>
      <w:r w:rsidRPr="003E01A4">
        <w:rPr>
          <w:rFonts w:ascii="Aptos" w:hAnsi="Aptos"/>
          <w:sz w:val="24"/>
          <w:szCs w:val="24"/>
        </w:rPr>
        <w:t>This checklist is designed to help training providers evaluate and compare Training Management Systems in a structured and objective way.</w:t>
      </w:r>
    </w:p>
    <w:p w14:paraId="219117D6" w14:textId="77777777" w:rsidR="00361257" w:rsidRPr="003E01A4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</w:pPr>
    </w:p>
    <w:p w14:paraId="01E346FE" w14:textId="77777777" w:rsidR="00361257" w:rsidRPr="00D922E1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b/>
          <w:bCs/>
          <w:sz w:val="28"/>
          <w:szCs w:val="28"/>
        </w:rPr>
      </w:pPr>
      <w:r w:rsidRPr="00D922E1">
        <w:rPr>
          <w:rFonts w:ascii="Aptos" w:hAnsi="Aptos"/>
          <w:b/>
          <w:bCs/>
          <w:sz w:val="28"/>
          <w:szCs w:val="28"/>
        </w:rPr>
        <w:t>1. Set priority</w:t>
      </w:r>
    </w:p>
    <w:p w14:paraId="07272C6F" w14:textId="77777777" w:rsidR="00361257" w:rsidRPr="003E01A4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</w:pPr>
      <w:r w:rsidRPr="003E01A4">
        <w:rPr>
          <w:rFonts w:ascii="Aptos" w:hAnsi="Aptos"/>
          <w:sz w:val="24"/>
          <w:szCs w:val="24"/>
        </w:rPr>
        <w:t>Mark each requirement as:</w:t>
      </w:r>
    </w:p>
    <w:p w14:paraId="3185D887" w14:textId="60ACE39A" w:rsidR="00361257" w:rsidRPr="00032796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</w:pPr>
      <w:r w:rsidRPr="00032796">
        <w:rPr>
          <w:rFonts w:ascii="Aptos" w:hAnsi="Aptos"/>
          <w:sz w:val="24"/>
          <w:szCs w:val="24"/>
        </w:rPr>
        <w:t>C – Critical (must have) | I – Important (high value but not essential) | N – Nice to have</w:t>
      </w:r>
    </w:p>
    <w:p w14:paraId="76D08A2E" w14:textId="77777777" w:rsidR="00361257" w:rsidRPr="003E01A4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</w:pPr>
    </w:p>
    <w:p w14:paraId="3952106E" w14:textId="77777777" w:rsidR="00361257" w:rsidRPr="00D922E1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b/>
          <w:bCs/>
          <w:sz w:val="28"/>
          <w:szCs w:val="28"/>
        </w:rPr>
      </w:pPr>
      <w:r w:rsidRPr="00D922E1">
        <w:rPr>
          <w:rFonts w:ascii="Aptos" w:hAnsi="Aptos"/>
          <w:b/>
          <w:bCs/>
          <w:sz w:val="28"/>
          <w:szCs w:val="28"/>
        </w:rPr>
        <w:t>2. Score vendors</w:t>
      </w:r>
    </w:p>
    <w:p w14:paraId="1C4D2068" w14:textId="77777777" w:rsidR="00361257" w:rsidRPr="003E01A4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</w:pPr>
      <w:r w:rsidRPr="003E01A4">
        <w:rPr>
          <w:rFonts w:ascii="Aptos" w:hAnsi="Aptos"/>
          <w:sz w:val="24"/>
          <w:szCs w:val="24"/>
        </w:rPr>
        <w:t>Score how well each system meets the requirement using a 1–5 scale:</w:t>
      </w:r>
    </w:p>
    <w:p w14:paraId="55E10474" w14:textId="77777777" w:rsidR="00361257" w:rsidRPr="003E01A4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</w:pPr>
      <w:r w:rsidRPr="003E01A4">
        <w:rPr>
          <w:rFonts w:ascii="Aptos" w:hAnsi="Aptos"/>
          <w:sz w:val="24"/>
          <w:szCs w:val="24"/>
        </w:rPr>
        <w:t>1 = Not supported | 3 = Adequate | 5 = Excellent</w:t>
      </w:r>
    </w:p>
    <w:p w14:paraId="3474CBB4" w14:textId="77777777" w:rsidR="00361257" w:rsidRPr="003E01A4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</w:pPr>
    </w:p>
    <w:p w14:paraId="7FB79200" w14:textId="77777777" w:rsidR="00361257" w:rsidRPr="00D922E1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b/>
          <w:bCs/>
          <w:sz w:val="28"/>
          <w:szCs w:val="28"/>
        </w:rPr>
      </w:pPr>
      <w:r w:rsidRPr="00D922E1">
        <w:rPr>
          <w:rFonts w:ascii="Aptos" w:hAnsi="Aptos"/>
          <w:b/>
          <w:bCs/>
          <w:sz w:val="28"/>
          <w:szCs w:val="28"/>
        </w:rPr>
        <w:t>3. Add notes</w:t>
      </w:r>
    </w:p>
    <w:p w14:paraId="340A351F" w14:textId="4069137E" w:rsidR="00361257" w:rsidRDefault="00361257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</w:pPr>
      <w:r w:rsidRPr="003E01A4">
        <w:rPr>
          <w:rFonts w:ascii="Aptos" w:hAnsi="Aptos"/>
          <w:sz w:val="24"/>
          <w:szCs w:val="24"/>
        </w:rPr>
        <w:t>Use the Notes column to capture key details, limitations, or observations during vendor demos.</w:t>
      </w:r>
    </w:p>
    <w:p w14:paraId="27CA21DB" w14:textId="77777777" w:rsidR="00240B62" w:rsidRDefault="00240B62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</w:pPr>
    </w:p>
    <w:p w14:paraId="2A8F8BFA" w14:textId="77777777" w:rsidR="00240B62" w:rsidRPr="00D922E1" w:rsidRDefault="00240B62" w:rsidP="00240B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b/>
          <w:bCs/>
          <w:sz w:val="28"/>
          <w:szCs w:val="28"/>
        </w:rPr>
      </w:pPr>
      <w:r w:rsidRPr="00D922E1">
        <w:rPr>
          <w:rFonts w:ascii="Aptos" w:hAnsi="Aptos"/>
          <w:b/>
          <w:bCs/>
          <w:sz w:val="28"/>
          <w:szCs w:val="28"/>
        </w:rPr>
        <w:t>4. Compare total scores</w:t>
      </w:r>
    </w:p>
    <w:p w14:paraId="567FC13F" w14:textId="003B64DF" w:rsidR="00240B62" w:rsidRDefault="00240B62" w:rsidP="00240B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</w:pPr>
      <w:r w:rsidRPr="00240B62">
        <w:rPr>
          <w:rFonts w:ascii="Aptos" w:hAnsi="Aptos"/>
          <w:sz w:val="24"/>
          <w:szCs w:val="24"/>
        </w:rPr>
        <w:t xml:space="preserve">Add up each vendor's scores at the bottom of the checklist to get a total out of </w:t>
      </w:r>
      <w:r w:rsidR="00032796">
        <w:rPr>
          <w:rFonts w:ascii="Aptos" w:hAnsi="Aptos"/>
          <w:sz w:val="24"/>
          <w:szCs w:val="24"/>
        </w:rPr>
        <w:t>380</w:t>
      </w:r>
      <w:r w:rsidRPr="00240B62">
        <w:rPr>
          <w:rFonts w:ascii="Aptos" w:hAnsi="Aptos"/>
          <w:sz w:val="24"/>
          <w:szCs w:val="24"/>
        </w:rPr>
        <w:t>. Use this alongside your priority ratings to make a final, objective comparison</w:t>
      </w:r>
      <w:r>
        <w:rPr>
          <w:rFonts w:ascii="Aptos" w:hAnsi="Aptos"/>
          <w:sz w:val="24"/>
          <w:szCs w:val="24"/>
        </w:rPr>
        <w:t>. A</w:t>
      </w:r>
      <w:r w:rsidRPr="00240B62">
        <w:rPr>
          <w:rFonts w:ascii="Aptos" w:hAnsi="Aptos"/>
          <w:sz w:val="24"/>
          <w:szCs w:val="24"/>
        </w:rPr>
        <w:t xml:space="preserve"> higher score doesn't automatically win if a vendor falls short on your Critical requirements.</w:t>
      </w:r>
    </w:p>
    <w:p w14:paraId="1D92B73F" w14:textId="77777777" w:rsidR="003C5F64" w:rsidRDefault="003C5F64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519"/>
        <w:rPr>
          <w:rFonts w:ascii="Aptos" w:hAnsi="Aptos"/>
          <w:sz w:val="24"/>
          <w:szCs w:val="24"/>
        </w:rPr>
        <w:sectPr w:rsidR="003C5F64" w:rsidSect="003C5F64">
          <w:footerReference w:type="default" r:id="rId8"/>
          <w:pgSz w:w="16820" w:h="11900" w:orient="landscape"/>
          <w:pgMar w:top="1247" w:right="2268" w:bottom="1247" w:left="2268" w:header="0" w:footer="720" w:gutter="0"/>
          <w:pgNumType w:start="1"/>
          <w:cols w:space="720"/>
          <w:docGrid w:linePitch="299"/>
        </w:sect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4673"/>
        <w:gridCol w:w="1132"/>
        <w:gridCol w:w="1087"/>
        <w:gridCol w:w="1087"/>
        <w:gridCol w:w="1087"/>
        <w:gridCol w:w="5245"/>
      </w:tblGrid>
      <w:tr w:rsidR="00631126" w:rsidRPr="003E01A4" w14:paraId="4E04FE41" w14:textId="77777777" w:rsidTr="006E5B2D">
        <w:trPr>
          <w:tblHeader/>
        </w:trPr>
        <w:tc>
          <w:tcPr>
            <w:tcW w:w="4673" w:type="dxa"/>
            <w:shd w:val="clear" w:color="auto" w:fill="95B3D7" w:themeFill="accent1" w:themeFillTint="99"/>
            <w:vAlign w:val="center"/>
          </w:tcPr>
          <w:p w14:paraId="35B19D62" w14:textId="0D382E22" w:rsidR="001967D7" w:rsidRPr="003E01A4" w:rsidRDefault="00954CEC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3E01A4">
              <w:rPr>
                <w:rFonts w:ascii="Aptos" w:hAnsi="Aptos"/>
                <w:b/>
                <w:bCs/>
                <w:sz w:val="24"/>
                <w:szCs w:val="24"/>
              </w:rPr>
              <w:lastRenderedPageBreak/>
              <w:t>Requirement</w:t>
            </w:r>
          </w:p>
        </w:tc>
        <w:tc>
          <w:tcPr>
            <w:tcW w:w="1132" w:type="dxa"/>
            <w:shd w:val="clear" w:color="auto" w:fill="95B3D7" w:themeFill="accent1" w:themeFillTint="99"/>
            <w:vAlign w:val="center"/>
          </w:tcPr>
          <w:p w14:paraId="42601242" w14:textId="77777777" w:rsidR="001967D7" w:rsidRPr="003E01A4" w:rsidRDefault="00954CEC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3E01A4">
              <w:rPr>
                <w:rFonts w:ascii="Aptos" w:hAnsi="Aptos"/>
                <w:b/>
                <w:bCs/>
                <w:sz w:val="24"/>
                <w:szCs w:val="24"/>
              </w:rPr>
              <w:t>Priority</w:t>
            </w:r>
          </w:p>
          <w:p w14:paraId="79EF7F7B" w14:textId="10B362EF" w:rsidR="00954CEC" w:rsidRPr="003E01A4" w:rsidRDefault="00954CEC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3E01A4">
              <w:rPr>
                <w:rFonts w:ascii="Aptos" w:hAnsi="Aptos"/>
                <w:b/>
                <w:bCs/>
                <w:sz w:val="24"/>
                <w:szCs w:val="24"/>
              </w:rPr>
              <w:t>(C/I/N)</w:t>
            </w:r>
          </w:p>
        </w:tc>
        <w:tc>
          <w:tcPr>
            <w:tcW w:w="1087" w:type="dxa"/>
            <w:shd w:val="clear" w:color="auto" w:fill="B8CCE4" w:themeFill="accent1" w:themeFillTint="66"/>
            <w:vAlign w:val="center"/>
          </w:tcPr>
          <w:p w14:paraId="73FA8B70" w14:textId="42DFB649" w:rsidR="001967D7" w:rsidRPr="003E01A4" w:rsidRDefault="00954CEC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3E01A4">
              <w:rPr>
                <w:rFonts w:ascii="Aptos" w:hAnsi="Aptos"/>
                <w:b/>
                <w:bCs/>
                <w:sz w:val="24"/>
                <w:szCs w:val="24"/>
              </w:rPr>
              <w:t>Vendor A (1-5)</w:t>
            </w:r>
          </w:p>
        </w:tc>
        <w:tc>
          <w:tcPr>
            <w:tcW w:w="1087" w:type="dxa"/>
            <w:shd w:val="clear" w:color="auto" w:fill="B8CCE4" w:themeFill="accent1" w:themeFillTint="66"/>
            <w:vAlign w:val="center"/>
          </w:tcPr>
          <w:p w14:paraId="6DC44E55" w14:textId="6B831EC4" w:rsidR="001967D7" w:rsidRPr="003E01A4" w:rsidRDefault="00B83555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3E01A4">
              <w:rPr>
                <w:rFonts w:ascii="Aptos" w:hAnsi="Aptos"/>
                <w:b/>
                <w:bCs/>
                <w:sz w:val="24"/>
                <w:szCs w:val="24"/>
              </w:rPr>
              <w:t>Vendor B (1-5)</w:t>
            </w:r>
          </w:p>
        </w:tc>
        <w:tc>
          <w:tcPr>
            <w:tcW w:w="1087" w:type="dxa"/>
            <w:shd w:val="clear" w:color="auto" w:fill="B8CCE4" w:themeFill="accent1" w:themeFillTint="66"/>
            <w:vAlign w:val="center"/>
          </w:tcPr>
          <w:p w14:paraId="1EFDFC75" w14:textId="06C259F8" w:rsidR="001967D7" w:rsidRPr="003E01A4" w:rsidRDefault="00B83555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3E01A4">
              <w:rPr>
                <w:rFonts w:ascii="Aptos" w:hAnsi="Aptos"/>
                <w:b/>
                <w:bCs/>
                <w:sz w:val="24"/>
                <w:szCs w:val="24"/>
              </w:rPr>
              <w:t>Vendor C (1-5)</w:t>
            </w:r>
          </w:p>
        </w:tc>
        <w:tc>
          <w:tcPr>
            <w:tcW w:w="5245" w:type="dxa"/>
            <w:shd w:val="clear" w:color="auto" w:fill="DBE5F1" w:themeFill="accent1" w:themeFillTint="33"/>
            <w:vAlign w:val="center"/>
          </w:tcPr>
          <w:p w14:paraId="10CAC56F" w14:textId="1CF22205" w:rsidR="001967D7" w:rsidRPr="003E01A4" w:rsidRDefault="00B83555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3E01A4">
              <w:rPr>
                <w:rFonts w:ascii="Aptos" w:hAnsi="Aptos"/>
                <w:b/>
                <w:bCs/>
                <w:sz w:val="24"/>
                <w:szCs w:val="24"/>
              </w:rPr>
              <w:t>Notes</w:t>
            </w:r>
          </w:p>
        </w:tc>
      </w:tr>
      <w:tr w:rsidR="006A2C37" w:rsidRPr="003E01A4" w14:paraId="6F5B53C0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3517DBE3" w14:textId="6D54E563" w:rsidR="006A2C37" w:rsidRPr="003E01A4" w:rsidRDefault="006A2C37" w:rsidP="00631126">
            <w:pPr>
              <w:pStyle w:val="ListParagraph"/>
              <w:widowControl w:val="0"/>
              <w:numPr>
                <w:ilvl w:val="0"/>
                <w:numId w:val="1"/>
              </w:numPr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>Strategic Fit &amp; Organisational Alignment</w:t>
            </w:r>
          </w:p>
        </w:tc>
      </w:tr>
      <w:tr w:rsidR="00631126" w:rsidRPr="003E01A4" w14:paraId="56E3CC25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62BB61B6" w14:textId="5B2950B6" w:rsidR="005A6280" w:rsidRPr="003E01A4" w:rsidRDefault="005A6280" w:rsidP="006311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ind w:left="4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>Is the system a good fit for the size of your organisation?</w:t>
            </w:r>
          </w:p>
        </w:tc>
        <w:tc>
          <w:tcPr>
            <w:tcW w:w="1132" w:type="dxa"/>
            <w:vAlign w:val="center"/>
          </w:tcPr>
          <w:p w14:paraId="49A06F03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ACFB583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D7319E2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3B4F541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03185B9" w14:textId="6F674E2A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BB444B3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4B46664" w14:textId="578408C8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>Does it support multi-location, multi-trainer, or multi-entity structures?</w:t>
            </w:r>
          </w:p>
        </w:tc>
        <w:tc>
          <w:tcPr>
            <w:tcW w:w="1132" w:type="dxa"/>
            <w:vAlign w:val="center"/>
          </w:tcPr>
          <w:p w14:paraId="57C8E776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164919A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A32A4D4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3EA115D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65A8E70A" w14:textId="692E8942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4D00651D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06B59FD9" w14:textId="6A2768AB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Is it suitable for public, private, enterprise, blended, ILT, or </w:t>
            </w:r>
            <w:proofErr w:type="spellStart"/>
            <w:r w:rsidRPr="003E01A4">
              <w:rPr>
                <w:rFonts w:ascii="Aptos" w:hAnsi="Aptos"/>
              </w:rPr>
              <w:t>vILT</w:t>
            </w:r>
            <w:proofErr w:type="spellEnd"/>
            <w:r w:rsidRPr="003E01A4">
              <w:rPr>
                <w:rFonts w:ascii="Aptos" w:hAnsi="Aptos"/>
              </w:rPr>
              <w:t xml:space="preserve"> delivery?</w:t>
            </w:r>
          </w:p>
        </w:tc>
        <w:tc>
          <w:tcPr>
            <w:tcW w:w="1132" w:type="dxa"/>
            <w:vAlign w:val="center"/>
          </w:tcPr>
          <w:p w14:paraId="00C1FD1C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D17D445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6371E48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B916C84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64FCB032" w14:textId="39548750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2BBA29FA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7A3712D8" w14:textId="1E9485B9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>Will it scale without becoming overly complex or underpowered?</w:t>
            </w:r>
          </w:p>
        </w:tc>
        <w:tc>
          <w:tcPr>
            <w:tcW w:w="1132" w:type="dxa"/>
            <w:vAlign w:val="center"/>
          </w:tcPr>
          <w:p w14:paraId="2DDAD677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F625F95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BF9B47D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58E05AF" w14:textId="77777777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647D0874" w14:textId="7AD7D5D6" w:rsidR="001967D7" w:rsidRPr="003E01A4" w:rsidRDefault="001967D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A2C37" w:rsidRPr="003E01A4" w14:paraId="5A5F8CAD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46C04D3A" w14:textId="1954D869" w:rsidR="006A2C37" w:rsidRPr="003E01A4" w:rsidRDefault="006A2C37" w:rsidP="00631126">
            <w:pPr>
              <w:pStyle w:val="ListParagraph"/>
              <w:widowControl w:val="0"/>
              <w:numPr>
                <w:ilvl w:val="0"/>
                <w:numId w:val="1"/>
              </w:numPr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>Course Scheduling &amp; Planning</w:t>
            </w:r>
          </w:p>
        </w:tc>
      </w:tr>
      <w:tr w:rsidR="00631126" w:rsidRPr="003E01A4" w14:paraId="08471663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5124EE85" w14:textId="222055CC" w:rsidR="00D03E12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Multi-course, multi-location scheduling </w:t>
            </w:r>
          </w:p>
        </w:tc>
        <w:tc>
          <w:tcPr>
            <w:tcW w:w="1132" w:type="dxa"/>
            <w:vAlign w:val="center"/>
          </w:tcPr>
          <w:p w14:paraId="10DF584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34B8911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3D63E1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D1A092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5ADDC122" w14:textId="45336169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53E3C81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2934FA1" w14:textId="00550A9A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Recurring courses, cohorts, and waitlists </w:t>
            </w:r>
          </w:p>
        </w:tc>
        <w:tc>
          <w:tcPr>
            <w:tcW w:w="1132" w:type="dxa"/>
            <w:vAlign w:val="center"/>
          </w:tcPr>
          <w:p w14:paraId="286298B9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989C4C0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54DE7E5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8C6167A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625941CD" w14:textId="5F2CDDEC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6112C808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587C465B" w14:textId="59846825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Clash detection for instructors, rooms, and resources </w:t>
            </w:r>
          </w:p>
        </w:tc>
        <w:tc>
          <w:tcPr>
            <w:tcW w:w="1132" w:type="dxa"/>
            <w:vAlign w:val="center"/>
          </w:tcPr>
          <w:p w14:paraId="32A3F47D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6E73AAC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FC2BB7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C9E9C0B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BD54DB5" w14:textId="574A8C56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6A21B054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DD9ACC6" w14:textId="479C481B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Visual calendar-based scheduling tools </w:t>
            </w:r>
          </w:p>
        </w:tc>
        <w:tc>
          <w:tcPr>
            <w:tcW w:w="1132" w:type="dxa"/>
            <w:vAlign w:val="center"/>
          </w:tcPr>
          <w:p w14:paraId="32C5F901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FEE635E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766FC5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4EB84BA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A4F955B" w14:textId="61F6A4C5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5CE29E5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53AE95F4" w14:textId="518714EA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Course templates to reduce repetitive setup </w:t>
            </w:r>
          </w:p>
        </w:tc>
        <w:tc>
          <w:tcPr>
            <w:tcW w:w="1132" w:type="dxa"/>
            <w:vAlign w:val="center"/>
          </w:tcPr>
          <w:p w14:paraId="6BBB8D20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521FC83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3E0F90B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8BEF17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50422D3C" w14:textId="4E1BF820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D2727F8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2EDBBC33" w14:textId="463A3E6F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Long-term planning capability </w:t>
            </w:r>
          </w:p>
        </w:tc>
        <w:tc>
          <w:tcPr>
            <w:tcW w:w="1132" w:type="dxa"/>
            <w:vAlign w:val="center"/>
          </w:tcPr>
          <w:p w14:paraId="3ECFBB2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24BC413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FADDED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C4C0645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0B998F9D" w14:textId="220AC64F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35CD0E9A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0CD5640C" w14:textId="4379F19B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Real-time resource availability visibility </w:t>
            </w:r>
          </w:p>
        </w:tc>
        <w:tc>
          <w:tcPr>
            <w:tcW w:w="1132" w:type="dxa"/>
            <w:vAlign w:val="center"/>
          </w:tcPr>
          <w:p w14:paraId="716BD6D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11D853E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48D69AC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01BD6A1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7705D519" w14:textId="126680A5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02433C" w:rsidRPr="003E01A4" w14:paraId="48C39A82" w14:textId="77777777" w:rsidTr="00B25AA5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1A584E61" w14:textId="1EF74762" w:rsidR="0002433C" w:rsidRPr="003E01A4" w:rsidRDefault="0002433C" w:rsidP="00B25AA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02433C">
              <w:rPr>
                <w:rFonts w:ascii="Aptos" w:hAnsi="Aptos"/>
                <w:b/>
                <w:bCs/>
                <w:sz w:val="28"/>
                <w:szCs w:val="28"/>
              </w:rPr>
              <w:lastRenderedPageBreak/>
              <w:t>Usability &amp; Administration</w:t>
            </w:r>
          </w:p>
        </w:tc>
      </w:tr>
      <w:tr w:rsidR="0002433C" w:rsidRPr="003E01A4" w14:paraId="551FEF7F" w14:textId="77777777" w:rsidTr="00B25AA5">
        <w:trPr>
          <w:trHeight w:val="680"/>
        </w:trPr>
        <w:tc>
          <w:tcPr>
            <w:tcW w:w="4673" w:type="dxa"/>
            <w:vAlign w:val="center"/>
          </w:tcPr>
          <w:p w14:paraId="130B3AB5" w14:textId="285E244B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02433C">
              <w:rPr>
                <w:rFonts w:ascii="Aptos" w:hAnsi="Aptos"/>
              </w:rPr>
              <w:t>Intuitive interface with minimal learning curve for non-technical users</w:t>
            </w:r>
          </w:p>
        </w:tc>
        <w:tc>
          <w:tcPr>
            <w:tcW w:w="1132" w:type="dxa"/>
            <w:vAlign w:val="center"/>
          </w:tcPr>
          <w:p w14:paraId="30D7DE30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473A643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3BE357A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3165AB1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3BA21C2E" w14:textId="0161F969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02433C" w:rsidRPr="003E01A4" w14:paraId="647A82F8" w14:textId="77777777" w:rsidTr="00B25AA5">
        <w:trPr>
          <w:trHeight w:val="680"/>
        </w:trPr>
        <w:tc>
          <w:tcPr>
            <w:tcW w:w="4673" w:type="dxa"/>
            <w:vAlign w:val="center"/>
          </w:tcPr>
          <w:p w14:paraId="4533AC5C" w14:textId="53E4CDAF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02433C">
              <w:rPr>
                <w:rFonts w:ascii="Aptos" w:hAnsi="Aptos"/>
              </w:rPr>
              <w:t>Quick to complete common daily tasks (bookings, scheduling, invoicing)</w:t>
            </w:r>
          </w:p>
        </w:tc>
        <w:tc>
          <w:tcPr>
            <w:tcW w:w="1132" w:type="dxa"/>
            <w:vAlign w:val="center"/>
          </w:tcPr>
          <w:p w14:paraId="6A681B5D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6EEA5BD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C590D29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F5AE55D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5D1E0A35" w14:textId="26A9DEDA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02433C" w:rsidRPr="003E01A4" w14:paraId="6186C5EB" w14:textId="77777777" w:rsidTr="00B25AA5">
        <w:trPr>
          <w:trHeight w:val="680"/>
        </w:trPr>
        <w:tc>
          <w:tcPr>
            <w:tcW w:w="4673" w:type="dxa"/>
            <w:vAlign w:val="center"/>
          </w:tcPr>
          <w:p w14:paraId="4AFF5DA1" w14:textId="000CECB2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02433C">
              <w:rPr>
                <w:rFonts w:ascii="Aptos" w:hAnsi="Aptos"/>
              </w:rPr>
              <w:t>Role-based views so each user only sees what's relevant to them</w:t>
            </w:r>
          </w:p>
        </w:tc>
        <w:tc>
          <w:tcPr>
            <w:tcW w:w="1132" w:type="dxa"/>
            <w:vAlign w:val="center"/>
          </w:tcPr>
          <w:p w14:paraId="41B7B4CB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F9F9847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8A1AF09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DC4E4E8" w14:textId="77777777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258E5CB1" w14:textId="5DD72364" w:rsidR="0002433C" w:rsidRPr="003E01A4" w:rsidRDefault="0002433C" w:rsidP="00B25AA5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A2C37" w:rsidRPr="003E01A4" w14:paraId="268D1F65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21D5EA60" w14:textId="0B45BA3E" w:rsidR="006A2C37" w:rsidRPr="003E01A4" w:rsidRDefault="006A2C37" w:rsidP="0063112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 xml:space="preserve">Instructor &amp; Resource Management </w:t>
            </w:r>
          </w:p>
        </w:tc>
      </w:tr>
      <w:tr w:rsidR="00631126" w:rsidRPr="003E01A4" w14:paraId="65E9F026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0C1508D9" w14:textId="5FBDC101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Instructor assignment by availability, skills, and cost </w:t>
            </w:r>
          </w:p>
        </w:tc>
        <w:tc>
          <w:tcPr>
            <w:tcW w:w="1132" w:type="dxa"/>
            <w:vAlign w:val="center"/>
          </w:tcPr>
          <w:p w14:paraId="1E012F85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E88CE1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15835B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0112E4E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6E2A4019" w14:textId="2175A2A3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510894D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0BC3F88A" w14:textId="0DA220F4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Trainer matrix with qualification tracking </w:t>
            </w:r>
          </w:p>
        </w:tc>
        <w:tc>
          <w:tcPr>
            <w:tcW w:w="1132" w:type="dxa"/>
            <w:vAlign w:val="center"/>
          </w:tcPr>
          <w:p w14:paraId="78227290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C91F380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63752A2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36A089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5D8465F" w14:textId="38ED0734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D0E1036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5FBD66EF" w14:textId="1FD6DF19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Tracking utilisation and workload </w:t>
            </w:r>
          </w:p>
        </w:tc>
        <w:tc>
          <w:tcPr>
            <w:tcW w:w="1132" w:type="dxa"/>
            <w:vAlign w:val="center"/>
          </w:tcPr>
          <w:p w14:paraId="0022BB37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F74DF0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19D1CA2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3605C3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72BDF933" w14:textId="783A345F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37D2E2E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1182A32D" w14:textId="11398D3D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Instructor self-service access </w:t>
            </w:r>
          </w:p>
        </w:tc>
        <w:tc>
          <w:tcPr>
            <w:tcW w:w="1132" w:type="dxa"/>
            <w:vAlign w:val="center"/>
          </w:tcPr>
          <w:p w14:paraId="5BBAB290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461278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E35A75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B611A15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73265EE" w14:textId="6BF82296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3CFD5B32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6B18E007" w14:textId="67EC17C1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Venue, equipment, and virtual classroom management </w:t>
            </w:r>
          </w:p>
        </w:tc>
        <w:tc>
          <w:tcPr>
            <w:tcW w:w="1132" w:type="dxa"/>
            <w:vAlign w:val="center"/>
          </w:tcPr>
          <w:p w14:paraId="3457531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51C995E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5345B1B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497D7E0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04187A4" w14:textId="2953BAEC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A2C37" w:rsidRPr="003E01A4" w14:paraId="4F7EAA55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4990B50E" w14:textId="5F8BEDD6" w:rsidR="006A2C37" w:rsidRPr="003E01A4" w:rsidRDefault="006A2C37" w:rsidP="0063112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 xml:space="preserve">Learner &amp; Delegate Management </w:t>
            </w:r>
          </w:p>
        </w:tc>
      </w:tr>
      <w:tr w:rsidR="00631126" w:rsidRPr="003E01A4" w14:paraId="4C011105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30EA5DB0" w14:textId="5A725B8B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Digital delegate profiles (IDs, licence numbers, signatures, photos) </w:t>
            </w:r>
          </w:p>
        </w:tc>
        <w:tc>
          <w:tcPr>
            <w:tcW w:w="1132" w:type="dxa"/>
            <w:vAlign w:val="center"/>
          </w:tcPr>
          <w:p w14:paraId="2A1903C1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CB1BC49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99106B2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BBAD41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96893F6" w14:textId="0C36AEE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4EC3885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529BB195" w14:textId="702EBE4E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Group booking management </w:t>
            </w:r>
          </w:p>
        </w:tc>
        <w:tc>
          <w:tcPr>
            <w:tcW w:w="1132" w:type="dxa"/>
            <w:vAlign w:val="center"/>
          </w:tcPr>
          <w:p w14:paraId="39F87307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B619B7A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A96592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4E82CF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A114E0E" w14:textId="28E08C1E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55CB6960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D478174" w14:textId="4C47BC3B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lastRenderedPageBreak/>
              <w:t xml:space="preserve">Cancellations and transfers handling </w:t>
            </w:r>
          </w:p>
        </w:tc>
        <w:tc>
          <w:tcPr>
            <w:tcW w:w="1132" w:type="dxa"/>
            <w:vAlign w:val="center"/>
          </w:tcPr>
          <w:p w14:paraId="4B3E18FB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85126DB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C4C78F3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CC8D081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2EF3B09E" w14:textId="496C173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B788A1F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7A51DCB7" w14:textId="770D140C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Automated certificate generation </w:t>
            </w:r>
          </w:p>
        </w:tc>
        <w:tc>
          <w:tcPr>
            <w:tcW w:w="1132" w:type="dxa"/>
            <w:vAlign w:val="center"/>
          </w:tcPr>
          <w:p w14:paraId="318D62CD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81411F1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500F842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140CE2D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E3251CA" w14:textId="52C37B49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0BB897E3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0642ACFD" w14:textId="4BC710C9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Expiry and refresher notifications </w:t>
            </w:r>
          </w:p>
        </w:tc>
        <w:tc>
          <w:tcPr>
            <w:tcW w:w="1132" w:type="dxa"/>
            <w:vAlign w:val="center"/>
          </w:tcPr>
          <w:p w14:paraId="46F31EB5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7EDD37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9D5F0D7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F8550E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587E98CB" w14:textId="305D8559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463BB02D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7FA0ABB0" w14:textId="2EDBD5BF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>Automated joining instructions and reminders</w:t>
            </w:r>
          </w:p>
        </w:tc>
        <w:tc>
          <w:tcPr>
            <w:tcW w:w="1132" w:type="dxa"/>
            <w:vAlign w:val="center"/>
          </w:tcPr>
          <w:p w14:paraId="51E78DFA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B3E803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7C9BA5C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0FF495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CAD7A5B" w14:textId="0ED17B68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A2C37" w:rsidRPr="003E01A4" w14:paraId="081BF09E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0824D56A" w14:textId="72669A80" w:rsidR="006A2C37" w:rsidRPr="003E01A4" w:rsidRDefault="006A2C37" w:rsidP="0063112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 xml:space="preserve">Booking &amp; Customer Experience </w:t>
            </w:r>
          </w:p>
        </w:tc>
      </w:tr>
      <w:tr w:rsidR="00631126" w:rsidRPr="003E01A4" w14:paraId="0C84E0FC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DCB35E3" w14:textId="20E115FD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Website integration for live bookings </w:t>
            </w:r>
          </w:p>
        </w:tc>
        <w:tc>
          <w:tcPr>
            <w:tcW w:w="1132" w:type="dxa"/>
            <w:vAlign w:val="center"/>
          </w:tcPr>
          <w:p w14:paraId="07DF205B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5E90333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72C819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1742AF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0A1068C" w14:textId="1577F09E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5FA30182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28140715" w14:textId="76154C9F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Real-time seat availability </w:t>
            </w:r>
          </w:p>
        </w:tc>
        <w:tc>
          <w:tcPr>
            <w:tcW w:w="1132" w:type="dxa"/>
            <w:vAlign w:val="center"/>
          </w:tcPr>
          <w:p w14:paraId="236067B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4772B4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AC3EFD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9D451DC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21554774" w14:textId="35569AD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C328E30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FD54FB8" w14:textId="2A295511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Customisable checkout pages </w:t>
            </w:r>
          </w:p>
        </w:tc>
        <w:tc>
          <w:tcPr>
            <w:tcW w:w="1132" w:type="dxa"/>
            <w:vAlign w:val="center"/>
          </w:tcPr>
          <w:p w14:paraId="45601ABD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2EE96C9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61B537E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15EE4A3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70760F36" w14:textId="567F01D8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57F22CA1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62FA2C79" w14:textId="0EB136D5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Secure payment processing </w:t>
            </w:r>
          </w:p>
        </w:tc>
        <w:tc>
          <w:tcPr>
            <w:tcW w:w="1132" w:type="dxa"/>
            <w:vAlign w:val="center"/>
          </w:tcPr>
          <w:p w14:paraId="3288FE6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C94136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7B91E6C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3D1046E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4A3B8B7" w14:textId="6176B035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69AF855D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00C1037A" w14:textId="3F91520F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Customer self-service portals </w:t>
            </w:r>
          </w:p>
        </w:tc>
        <w:tc>
          <w:tcPr>
            <w:tcW w:w="1132" w:type="dxa"/>
            <w:vAlign w:val="center"/>
          </w:tcPr>
          <w:p w14:paraId="07AF09BC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1151D6E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216E9C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4134D29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3383FDE2" w14:textId="2152BAF2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A2C37" w:rsidRPr="003E01A4" w14:paraId="5A112FEA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1D6C2D43" w14:textId="60B13E69" w:rsidR="006A2C37" w:rsidRPr="003E01A4" w:rsidRDefault="006A2C37" w:rsidP="0063112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>CRM &amp; Email Automation</w:t>
            </w:r>
          </w:p>
        </w:tc>
      </w:tr>
      <w:tr w:rsidR="00631126" w:rsidRPr="003E01A4" w14:paraId="3166E1DA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7E4350B1" w14:textId="3EADFB99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Central customer database </w:t>
            </w:r>
          </w:p>
        </w:tc>
        <w:tc>
          <w:tcPr>
            <w:tcW w:w="1132" w:type="dxa"/>
            <w:vAlign w:val="center"/>
          </w:tcPr>
          <w:p w14:paraId="777BA509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D774B85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49913E5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F9D053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05DE04B2" w14:textId="7DDA99A5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540A3527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6CBEE3E7" w14:textId="3399FE4A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>Delegate database with qualification tracking</w:t>
            </w:r>
          </w:p>
        </w:tc>
        <w:tc>
          <w:tcPr>
            <w:tcW w:w="1132" w:type="dxa"/>
            <w:vAlign w:val="center"/>
          </w:tcPr>
          <w:p w14:paraId="7239F93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51BC81E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5D905D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1C19B89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2B78CAD6" w14:textId="464556F0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4287B7A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299DC73" w14:textId="35BD3154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lastRenderedPageBreak/>
              <w:t xml:space="preserve">Email logging and tracking </w:t>
            </w:r>
          </w:p>
        </w:tc>
        <w:tc>
          <w:tcPr>
            <w:tcW w:w="1132" w:type="dxa"/>
            <w:vAlign w:val="center"/>
          </w:tcPr>
          <w:p w14:paraId="23AB07B0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352B19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673F912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A271442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78411751" w14:textId="6D2502BC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3121BCD6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5B2310F3" w14:textId="361A3231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Automated reminders and refresher campaigns </w:t>
            </w:r>
          </w:p>
        </w:tc>
        <w:tc>
          <w:tcPr>
            <w:tcW w:w="1132" w:type="dxa"/>
            <w:vAlign w:val="center"/>
          </w:tcPr>
          <w:p w14:paraId="6B4E1E01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EE20380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FAD182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E842AB2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F66ADAE" w14:textId="3FE6E66D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A2C37" w:rsidRPr="003E01A4" w14:paraId="4CE1347F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093B8EC8" w14:textId="437500B0" w:rsidR="006A2C37" w:rsidRPr="003E01A4" w:rsidRDefault="006A2C37" w:rsidP="0063112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ind w:right="-332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 xml:space="preserve">Commercial &amp; Revenue Management </w:t>
            </w:r>
          </w:p>
        </w:tc>
      </w:tr>
      <w:tr w:rsidR="00631126" w:rsidRPr="003E01A4" w14:paraId="2F60DCE1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32310AE8" w14:textId="7483C758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Pricing rules, discounts, bundles </w:t>
            </w:r>
          </w:p>
        </w:tc>
        <w:tc>
          <w:tcPr>
            <w:tcW w:w="1132" w:type="dxa"/>
            <w:vAlign w:val="center"/>
          </w:tcPr>
          <w:p w14:paraId="1E7C43F2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0475BD7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C9B1CC9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5AC2CC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093E2011" w14:textId="1822AE74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2FA72EF9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0382EDCD" w14:textId="7E836A3C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Deposits, vouchers, staged payments </w:t>
            </w:r>
          </w:p>
        </w:tc>
        <w:tc>
          <w:tcPr>
            <w:tcW w:w="1132" w:type="dxa"/>
            <w:vAlign w:val="center"/>
          </w:tcPr>
          <w:p w14:paraId="50E991C3" w14:textId="3D32A4E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B89B9D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DAB11F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6DD3F0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70C77A2E" w14:textId="058B5D3A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F7E7591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1D8179F8" w14:textId="128F75F6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Invoice generation and tracking </w:t>
            </w:r>
          </w:p>
        </w:tc>
        <w:tc>
          <w:tcPr>
            <w:tcW w:w="1132" w:type="dxa"/>
            <w:vAlign w:val="center"/>
          </w:tcPr>
          <w:p w14:paraId="0B30EFCC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F6C0A45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ED2FCDE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F3B979C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C33EFAC" w14:textId="4E843FAE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32FE817C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276C172D" w14:textId="24AD2314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Automatic payment reminders </w:t>
            </w:r>
          </w:p>
        </w:tc>
        <w:tc>
          <w:tcPr>
            <w:tcW w:w="1132" w:type="dxa"/>
            <w:vAlign w:val="center"/>
          </w:tcPr>
          <w:p w14:paraId="78C1EA5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248195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3021E76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357839C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2F60E358" w14:textId="428BC63C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4B61B47A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1F9D7762" w14:textId="21277F66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Customer credit management </w:t>
            </w:r>
          </w:p>
        </w:tc>
        <w:tc>
          <w:tcPr>
            <w:tcW w:w="1132" w:type="dxa"/>
            <w:vAlign w:val="center"/>
          </w:tcPr>
          <w:p w14:paraId="76F9B274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44013C2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942F0FE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823E8E2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4AA112D" w14:textId="0740C55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630FE71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0FEF8E58" w14:textId="034F2A53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Cancellation and transfer fee management </w:t>
            </w:r>
          </w:p>
        </w:tc>
        <w:tc>
          <w:tcPr>
            <w:tcW w:w="1132" w:type="dxa"/>
            <w:vAlign w:val="center"/>
          </w:tcPr>
          <w:p w14:paraId="74347BFD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C8597B1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C1921AA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B2D51B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4A4ED51" w14:textId="5ADF506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A6BA204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49DB3B2" w14:textId="0F176375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Integration with accounting platforms (Sage, Xero) </w:t>
            </w:r>
          </w:p>
        </w:tc>
        <w:tc>
          <w:tcPr>
            <w:tcW w:w="1132" w:type="dxa"/>
            <w:vAlign w:val="center"/>
          </w:tcPr>
          <w:p w14:paraId="710382C9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EBD520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000BDD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780D9FF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537D824" w14:textId="441C694B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50F7F013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0BA0C5E3" w14:textId="0F4F46EB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End-to-end revenue visibility </w:t>
            </w:r>
          </w:p>
        </w:tc>
        <w:tc>
          <w:tcPr>
            <w:tcW w:w="1132" w:type="dxa"/>
            <w:vAlign w:val="center"/>
          </w:tcPr>
          <w:p w14:paraId="31D439E2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5BD5138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AE19B13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C06F78C" w14:textId="77777777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3253B949" w14:textId="11002EFA" w:rsidR="006A2C37" w:rsidRPr="003E01A4" w:rsidRDefault="006A2C37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3E01A4" w:rsidRPr="003E01A4" w14:paraId="06596A08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2C103F4E" w14:textId="280035F1" w:rsidR="003E01A4" w:rsidRPr="003E01A4" w:rsidRDefault="003E01A4" w:rsidP="0063112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ind w:right="-332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>Compliance &amp; Governance</w:t>
            </w:r>
          </w:p>
        </w:tc>
      </w:tr>
      <w:tr w:rsidR="00631126" w:rsidRPr="003E01A4" w14:paraId="5248DEE6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EED456B" w14:textId="413A2ECE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Certification generation and tracking </w:t>
            </w:r>
          </w:p>
        </w:tc>
        <w:tc>
          <w:tcPr>
            <w:tcW w:w="1132" w:type="dxa"/>
            <w:vAlign w:val="center"/>
          </w:tcPr>
          <w:p w14:paraId="7F8CFCD9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ECD0F0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BC5BB6E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BB466E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02DC2375" w14:textId="4F16E04C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6C349035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7366A553" w14:textId="70227B69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lastRenderedPageBreak/>
              <w:t xml:space="preserve">Expiry tracking and automated alerts </w:t>
            </w:r>
          </w:p>
        </w:tc>
        <w:tc>
          <w:tcPr>
            <w:tcW w:w="1132" w:type="dxa"/>
            <w:vAlign w:val="center"/>
          </w:tcPr>
          <w:p w14:paraId="43E162C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8974F6D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FCEC7FD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ADB0203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EE90369" w14:textId="3BA79548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314FE91C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10B65926" w14:textId="75E55E88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Automated audit trails </w:t>
            </w:r>
          </w:p>
        </w:tc>
        <w:tc>
          <w:tcPr>
            <w:tcW w:w="1132" w:type="dxa"/>
            <w:vAlign w:val="center"/>
          </w:tcPr>
          <w:p w14:paraId="3E86C9F1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3FDF2C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0586A8E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AFC996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77952F99" w14:textId="2716C48C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AA6C38D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252DAF24" w14:textId="7B687D1E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Regulatory reporting support </w:t>
            </w:r>
          </w:p>
        </w:tc>
        <w:tc>
          <w:tcPr>
            <w:tcW w:w="1132" w:type="dxa"/>
            <w:vAlign w:val="center"/>
          </w:tcPr>
          <w:p w14:paraId="64A4B37F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D86EA8D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BE0EDC6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F0EBADE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5323ACBD" w14:textId="2F7EFD16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38E14EAA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3D3492E4" w14:textId="7294CF86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Granular roles and permissions </w:t>
            </w:r>
          </w:p>
        </w:tc>
        <w:tc>
          <w:tcPr>
            <w:tcW w:w="1132" w:type="dxa"/>
            <w:vAlign w:val="center"/>
          </w:tcPr>
          <w:p w14:paraId="24F4119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253A2C0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D9771E0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5F854D9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32DBE4B2" w14:textId="35C000BF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0379CBE8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FC8BBE0" w14:textId="51EA299C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Documented inspection history </w:t>
            </w:r>
          </w:p>
        </w:tc>
        <w:tc>
          <w:tcPr>
            <w:tcW w:w="1132" w:type="dxa"/>
            <w:vAlign w:val="center"/>
          </w:tcPr>
          <w:p w14:paraId="62DC6A3F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CE4E5FA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45781A9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C16021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35A1F91" w14:textId="21E96B5E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3E01A4" w:rsidRPr="003E01A4" w14:paraId="6E3D5B55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09070AFE" w14:textId="77B6A8AB" w:rsidR="003E01A4" w:rsidRPr="003E01A4" w:rsidRDefault="003E01A4" w:rsidP="0063112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ind w:right="-332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>Reporting &amp; Business Intelligence</w:t>
            </w:r>
          </w:p>
        </w:tc>
      </w:tr>
      <w:tr w:rsidR="00631126" w:rsidRPr="003E01A4" w14:paraId="70BE83F6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10FB7B62" w14:textId="12D33A1B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Course profitability reporting </w:t>
            </w:r>
          </w:p>
        </w:tc>
        <w:tc>
          <w:tcPr>
            <w:tcW w:w="1132" w:type="dxa"/>
            <w:vAlign w:val="center"/>
          </w:tcPr>
          <w:p w14:paraId="1AB917ED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9D790DA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DDCC60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9A6A5CE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933BBF6" w14:textId="12C8AFAC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85A45FD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74E41DC0" w14:textId="4C68DB19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Fill rate tracking </w:t>
            </w:r>
          </w:p>
        </w:tc>
        <w:tc>
          <w:tcPr>
            <w:tcW w:w="1132" w:type="dxa"/>
            <w:vAlign w:val="center"/>
          </w:tcPr>
          <w:p w14:paraId="6E564223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E342E6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2E5F33A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AB0B3A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27E85D91" w14:textId="380807A4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64A01C2F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1A73FEDB" w14:textId="6DAA3E3F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Instructor utilisation reporting </w:t>
            </w:r>
          </w:p>
        </w:tc>
        <w:tc>
          <w:tcPr>
            <w:tcW w:w="1132" w:type="dxa"/>
            <w:vAlign w:val="center"/>
          </w:tcPr>
          <w:p w14:paraId="6F04E51B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9D63CF0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AEC8E0B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0120116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DC0483D" w14:textId="2719F439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0830B523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5B26A249" w14:textId="3722F3DE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Cancellation rate reporting </w:t>
            </w:r>
          </w:p>
        </w:tc>
        <w:tc>
          <w:tcPr>
            <w:tcW w:w="1132" w:type="dxa"/>
            <w:vAlign w:val="center"/>
          </w:tcPr>
          <w:p w14:paraId="742CA51B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FC6EDC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D9DA80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443737F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0AB2CB5F" w14:textId="29BAF9C9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23CED2EF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29C5402E" w14:textId="52F26496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Custom dashboards and exports </w:t>
            </w:r>
          </w:p>
        </w:tc>
        <w:tc>
          <w:tcPr>
            <w:tcW w:w="1132" w:type="dxa"/>
            <w:vAlign w:val="center"/>
          </w:tcPr>
          <w:p w14:paraId="0F3BEBD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8D2993B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24D19EB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2E809AA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0AC78891" w14:textId="050D6E03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247E738F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0330B8C8" w14:textId="3809BFA2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t xml:space="preserve">BI integration capability </w:t>
            </w:r>
          </w:p>
        </w:tc>
        <w:tc>
          <w:tcPr>
            <w:tcW w:w="1132" w:type="dxa"/>
            <w:vAlign w:val="center"/>
          </w:tcPr>
          <w:p w14:paraId="7F2D7EE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F69A715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33B884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DE8CA3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66A35EF3" w14:textId="6F422255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2874BB07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3C0D9E96" w14:textId="69098E54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E01A4">
              <w:rPr>
                <w:rFonts w:ascii="Aptos" w:hAnsi="Aptos"/>
              </w:rPr>
              <w:lastRenderedPageBreak/>
              <w:t>Real-time operational visibility</w:t>
            </w:r>
          </w:p>
        </w:tc>
        <w:tc>
          <w:tcPr>
            <w:tcW w:w="1132" w:type="dxa"/>
            <w:vAlign w:val="center"/>
          </w:tcPr>
          <w:p w14:paraId="7189AF0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A0C141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C6B253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57ED883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2E450244" w14:textId="572C0E63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3E01A4" w:rsidRPr="003E01A4" w14:paraId="0EEED2F8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55C8AF02" w14:textId="7D5F1CB5" w:rsidR="003E01A4" w:rsidRPr="003E01A4" w:rsidRDefault="003E01A4" w:rsidP="0063112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ind w:right="-332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>Integrations &amp; Technology Fit</w:t>
            </w:r>
          </w:p>
        </w:tc>
      </w:tr>
      <w:tr w:rsidR="00631126" w:rsidRPr="003E01A4" w14:paraId="43ED8FAE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3CCCF916" w14:textId="6271060B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B63591">
              <w:rPr>
                <w:rFonts w:ascii="Aptos" w:hAnsi="Aptos"/>
              </w:rPr>
              <w:t xml:space="preserve">LMS integration </w:t>
            </w:r>
          </w:p>
        </w:tc>
        <w:tc>
          <w:tcPr>
            <w:tcW w:w="1132" w:type="dxa"/>
            <w:vAlign w:val="center"/>
          </w:tcPr>
          <w:p w14:paraId="1E7C9A03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D2D1BF0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6959E8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4EF80CE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32D178F" w14:textId="5030E160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042D5967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2EEA3FFF" w14:textId="2501BFF8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B63591">
              <w:rPr>
                <w:rFonts w:ascii="Aptos" w:hAnsi="Aptos"/>
              </w:rPr>
              <w:t xml:space="preserve">CRM integration </w:t>
            </w:r>
          </w:p>
        </w:tc>
        <w:tc>
          <w:tcPr>
            <w:tcW w:w="1132" w:type="dxa"/>
            <w:vAlign w:val="center"/>
          </w:tcPr>
          <w:p w14:paraId="6BA5F8F1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94C378D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BFBFBC1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CF60BA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3629FF21" w14:textId="7E4311EA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61958984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607BF7F2" w14:textId="4F2E5D1E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B63591">
              <w:rPr>
                <w:rFonts w:ascii="Aptos" w:hAnsi="Aptos"/>
              </w:rPr>
              <w:t xml:space="preserve">Finance system integration </w:t>
            </w:r>
          </w:p>
        </w:tc>
        <w:tc>
          <w:tcPr>
            <w:tcW w:w="1132" w:type="dxa"/>
            <w:vAlign w:val="center"/>
          </w:tcPr>
          <w:p w14:paraId="0EE3E57F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7E7DFC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5818AD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5B781D8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6BFCF024" w14:textId="6E132961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D72C685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10E7DA10" w14:textId="2D3FA6A1" w:rsidR="003E01A4" w:rsidRPr="003E01A4" w:rsidRDefault="00982146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>
              <w:rPr>
                <w:rFonts w:ascii="Aptos" w:hAnsi="Aptos"/>
              </w:rPr>
              <w:t>I</w:t>
            </w:r>
            <w:r w:rsidRPr="00982146">
              <w:rPr>
                <w:rFonts w:ascii="Aptos" w:hAnsi="Aptos"/>
              </w:rPr>
              <w:t>ntegrat</w:t>
            </w:r>
            <w:r>
              <w:rPr>
                <w:rFonts w:ascii="Aptos" w:hAnsi="Aptos"/>
              </w:rPr>
              <w:t>ion</w:t>
            </w:r>
            <w:r w:rsidRPr="00982146">
              <w:rPr>
                <w:rFonts w:ascii="Aptos" w:hAnsi="Aptos"/>
              </w:rPr>
              <w:t xml:space="preserve"> with </w:t>
            </w:r>
            <w:proofErr w:type="spellStart"/>
            <w:r w:rsidRPr="00982146">
              <w:rPr>
                <w:rFonts w:ascii="Aptos" w:hAnsi="Aptos"/>
              </w:rPr>
              <w:t>Coursecheck</w:t>
            </w:r>
            <w:proofErr w:type="spellEnd"/>
            <w:r w:rsidRPr="00982146">
              <w:rPr>
                <w:rFonts w:ascii="Aptos" w:hAnsi="Aptos"/>
              </w:rPr>
              <w:t xml:space="preserve"> </w:t>
            </w:r>
            <w:r w:rsidR="00240B62">
              <w:rPr>
                <w:rFonts w:ascii="Aptos" w:hAnsi="Aptos"/>
              </w:rPr>
              <w:t>training evaluation platform</w:t>
            </w:r>
          </w:p>
        </w:tc>
        <w:tc>
          <w:tcPr>
            <w:tcW w:w="1132" w:type="dxa"/>
            <w:vAlign w:val="center"/>
          </w:tcPr>
          <w:p w14:paraId="29A54260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3F016F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CAD12F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6BE3BEB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0B0D6F48" w14:textId="70275350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0CEC2C08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2286523B" w14:textId="4C8AA1D9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B63591">
              <w:rPr>
                <w:rFonts w:ascii="Aptos" w:hAnsi="Aptos"/>
              </w:rPr>
              <w:t xml:space="preserve">API availability </w:t>
            </w:r>
          </w:p>
        </w:tc>
        <w:tc>
          <w:tcPr>
            <w:tcW w:w="1132" w:type="dxa"/>
            <w:vAlign w:val="center"/>
          </w:tcPr>
          <w:p w14:paraId="160D649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AD8054A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C4FAFF6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81E668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5150341D" w14:textId="2FB4259D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1BF2458E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CC20D4C" w14:textId="7D6FEBB4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B63591">
              <w:rPr>
                <w:rFonts w:ascii="Aptos" w:hAnsi="Aptos"/>
              </w:rPr>
              <w:t xml:space="preserve">Secure and reliable data syncing </w:t>
            </w:r>
          </w:p>
        </w:tc>
        <w:tc>
          <w:tcPr>
            <w:tcW w:w="1132" w:type="dxa"/>
            <w:vAlign w:val="center"/>
          </w:tcPr>
          <w:p w14:paraId="4B84FE6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8201DBE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321CC95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2B21958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5582F4B2" w14:textId="2D13D420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3E01A4" w:rsidRPr="003E01A4" w14:paraId="7FFCE315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0D89F15B" w14:textId="43312455" w:rsidR="003E01A4" w:rsidRPr="003E01A4" w:rsidRDefault="003E01A4" w:rsidP="0063112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ind w:right="-332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>Implementation &amp; Vendor Support</w:t>
            </w:r>
          </w:p>
        </w:tc>
      </w:tr>
      <w:tr w:rsidR="00631126" w:rsidRPr="003E01A4" w14:paraId="7AB8FEBA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7EEA70BB" w14:textId="7786FEE8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8245CA">
              <w:rPr>
                <w:rFonts w:ascii="Aptos" w:hAnsi="Aptos"/>
              </w:rPr>
              <w:t xml:space="preserve">Clear onboarding roadmap </w:t>
            </w:r>
          </w:p>
        </w:tc>
        <w:tc>
          <w:tcPr>
            <w:tcW w:w="1132" w:type="dxa"/>
            <w:vAlign w:val="center"/>
          </w:tcPr>
          <w:p w14:paraId="02F3A4E8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80A0C35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4832261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5CA948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7B15FE7" w14:textId="6CBD8C2A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B6BEF0D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0516B667" w14:textId="10EE029F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8245CA">
              <w:rPr>
                <w:rFonts w:ascii="Aptos" w:hAnsi="Aptos"/>
              </w:rPr>
              <w:t xml:space="preserve">Defined data migration process </w:t>
            </w:r>
          </w:p>
        </w:tc>
        <w:tc>
          <w:tcPr>
            <w:tcW w:w="1132" w:type="dxa"/>
            <w:vAlign w:val="center"/>
          </w:tcPr>
          <w:p w14:paraId="53603D7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E2228D0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F848AB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AC9FEBF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23EB9D5" w14:textId="3EB71E78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5D1E12E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3A61C6DD" w14:textId="15E73673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8245CA">
              <w:rPr>
                <w:rFonts w:ascii="Aptos" w:hAnsi="Aptos"/>
              </w:rPr>
              <w:t xml:space="preserve">Phased rollout options </w:t>
            </w:r>
          </w:p>
        </w:tc>
        <w:tc>
          <w:tcPr>
            <w:tcW w:w="1132" w:type="dxa"/>
            <w:vAlign w:val="center"/>
          </w:tcPr>
          <w:p w14:paraId="5416D67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B2E665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E1868DB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97B3FD9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684D3AB3" w14:textId="1218BB23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F96B2FF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6FD73845" w14:textId="6220A574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8245CA">
              <w:rPr>
                <w:rFonts w:ascii="Aptos" w:hAnsi="Aptos"/>
              </w:rPr>
              <w:t xml:space="preserve">Staff training plan </w:t>
            </w:r>
          </w:p>
        </w:tc>
        <w:tc>
          <w:tcPr>
            <w:tcW w:w="1132" w:type="dxa"/>
            <w:vAlign w:val="center"/>
          </w:tcPr>
          <w:p w14:paraId="2E969F29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364B78B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9E22C8F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4D4345A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3BE948B2" w14:textId="59CFE383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0231B8CD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51C896CE" w14:textId="19783E84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8245CA">
              <w:rPr>
                <w:rFonts w:ascii="Aptos" w:hAnsi="Aptos"/>
              </w:rPr>
              <w:lastRenderedPageBreak/>
              <w:t xml:space="preserve">Ongoing specialist support </w:t>
            </w:r>
          </w:p>
        </w:tc>
        <w:tc>
          <w:tcPr>
            <w:tcW w:w="1132" w:type="dxa"/>
            <w:vAlign w:val="center"/>
          </w:tcPr>
          <w:p w14:paraId="174E4630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0E761C0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79DD313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CB74EF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5F5CB251" w14:textId="175802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083FFA4A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1FFE806E" w14:textId="35030C98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8245CA">
              <w:rPr>
                <w:rFonts w:ascii="Aptos" w:hAnsi="Aptos"/>
              </w:rPr>
              <w:t xml:space="preserve">Case studies from similar providers </w:t>
            </w:r>
          </w:p>
        </w:tc>
        <w:tc>
          <w:tcPr>
            <w:tcW w:w="1132" w:type="dxa"/>
            <w:vAlign w:val="center"/>
          </w:tcPr>
          <w:p w14:paraId="0191B330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D93E6E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E0DAA59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D4CDE6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78FC75CC" w14:textId="26635BF5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3E01A4" w:rsidRPr="003E01A4" w14:paraId="2DB9157C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796EE0F5" w14:textId="4D733A7B" w:rsidR="003E01A4" w:rsidRPr="003E01A4" w:rsidRDefault="003E01A4" w:rsidP="0063112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ind w:right="-332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3E01A4">
              <w:rPr>
                <w:rFonts w:ascii="Aptos" w:hAnsi="Aptos"/>
                <w:b/>
                <w:bCs/>
                <w:sz w:val="28"/>
                <w:szCs w:val="28"/>
              </w:rPr>
              <w:t>Pricing Structure</w:t>
            </w:r>
          </w:p>
        </w:tc>
      </w:tr>
      <w:tr w:rsidR="00631126" w:rsidRPr="003E01A4" w14:paraId="12DD1584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F85EEF8" w14:textId="6E2801C4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F6DB1">
              <w:rPr>
                <w:rFonts w:ascii="Aptos" w:hAnsi="Aptos"/>
              </w:rPr>
              <w:t xml:space="preserve">Transparent pricing model </w:t>
            </w:r>
          </w:p>
        </w:tc>
        <w:tc>
          <w:tcPr>
            <w:tcW w:w="1132" w:type="dxa"/>
            <w:vAlign w:val="center"/>
          </w:tcPr>
          <w:p w14:paraId="602D782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B669A99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A45CF2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328D06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6FCFD2F6" w14:textId="4CCB9FD8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E9A025A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55FAAE61" w14:textId="0FD8B178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F6DB1">
              <w:rPr>
                <w:rFonts w:ascii="Aptos" w:hAnsi="Aptos"/>
              </w:rPr>
              <w:t xml:space="preserve">Per user / per course / per learner clarity </w:t>
            </w:r>
          </w:p>
        </w:tc>
        <w:tc>
          <w:tcPr>
            <w:tcW w:w="1132" w:type="dxa"/>
            <w:vAlign w:val="center"/>
          </w:tcPr>
          <w:p w14:paraId="0D00B5DA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F4D3446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FDB579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1CBC26EE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792E41AA" w14:textId="3ABFF324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275E6E30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5A989CF9" w14:textId="071D066A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F6DB1">
              <w:rPr>
                <w:rFonts w:ascii="Aptos" w:hAnsi="Aptos"/>
              </w:rPr>
              <w:t xml:space="preserve">Sustainable scaling costs </w:t>
            </w:r>
          </w:p>
        </w:tc>
        <w:tc>
          <w:tcPr>
            <w:tcW w:w="1132" w:type="dxa"/>
            <w:vAlign w:val="center"/>
          </w:tcPr>
          <w:p w14:paraId="2BCAF278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3C4C2A8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E6C716F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1489753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48E2297D" w14:textId="70DF85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F3C8B17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791FB448" w14:textId="7F8BBE5C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3F6DB1">
              <w:rPr>
                <w:rFonts w:ascii="Aptos" w:hAnsi="Aptos"/>
              </w:rPr>
              <w:t xml:space="preserve">No hidden integration fees </w:t>
            </w:r>
          </w:p>
        </w:tc>
        <w:tc>
          <w:tcPr>
            <w:tcW w:w="1132" w:type="dxa"/>
            <w:vAlign w:val="center"/>
          </w:tcPr>
          <w:p w14:paraId="50541EFF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6360BC1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26DD344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A4E9D9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65015591" w14:textId="4A101AD2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3E01A4" w:rsidRPr="003E01A4" w14:paraId="17F104A7" w14:textId="77777777" w:rsidTr="006E5B2D">
        <w:tc>
          <w:tcPr>
            <w:tcW w:w="14311" w:type="dxa"/>
            <w:gridSpan w:val="6"/>
            <w:shd w:val="clear" w:color="auto" w:fill="EEECE1" w:themeFill="background2"/>
            <w:vAlign w:val="center"/>
          </w:tcPr>
          <w:p w14:paraId="6660502F" w14:textId="1D10E9DE" w:rsidR="003E01A4" w:rsidRPr="008C0164" w:rsidRDefault="003E01A4" w:rsidP="008C0164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0" w:lineRule="atLeast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8C0164">
              <w:rPr>
                <w:rFonts w:ascii="Aptos" w:hAnsi="Aptos"/>
                <w:b/>
                <w:bCs/>
                <w:sz w:val="28"/>
                <w:szCs w:val="28"/>
              </w:rPr>
              <w:t xml:space="preserve">Final Evaluation </w:t>
            </w:r>
          </w:p>
        </w:tc>
      </w:tr>
      <w:tr w:rsidR="00631126" w:rsidRPr="003E01A4" w14:paraId="34E1CEF7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70B1EF6F" w14:textId="4FC094B5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FD1495">
              <w:rPr>
                <w:rFonts w:ascii="Aptos" w:hAnsi="Aptos"/>
              </w:rPr>
              <w:t xml:space="preserve">Does this system reduce manual workload? </w:t>
            </w:r>
          </w:p>
        </w:tc>
        <w:tc>
          <w:tcPr>
            <w:tcW w:w="1132" w:type="dxa"/>
            <w:vAlign w:val="center"/>
          </w:tcPr>
          <w:p w14:paraId="753B69F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035DE1B6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3A8ABA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8CE09C6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5359BE2E" w14:textId="66E1B60A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38159554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2F72BEB7" w14:textId="2A15D06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FD1495">
              <w:rPr>
                <w:rFonts w:ascii="Aptos" w:hAnsi="Aptos"/>
              </w:rPr>
              <w:t xml:space="preserve">Does it centralise operational control? </w:t>
            </w:r>
          </w:p>
        </w:tc>
        <w:tc>
          <w:tcPr>
            <w:tcW w:w="1132" w:type="dxa"/>
            <w:vAlign w:val="center"/>
          </w:tcPr>
          <w:p w14:paraId="600B40C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AC10B61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ADE5018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4DB389FA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7BC10CD1" w14:textId="7C118FF8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7EE7EEA4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3EA5707B" w14:textId="21E8C16F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FD1495">
              <w:rPr>
                <w:rFonts w:ascii="Aptos" w:hAnsi="Aptos"/>
              </w:rPr>
              <w:t xml:space="preserve">Does it support growth without increasing complexity? </w:t>
            </w:r>
          </w:p>
        </w:tc>
        <w:tc>
          <w:tcPr>
            <w:tcW w:w="1132" w:type="dxa"/>
            <w:vAlign w:val="center"/>
          </w:tcPr>
          <w:p w14:paraId="6BD8E81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7B4D7AAC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668061A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FBF09C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1EE62A0D" w14:textId="48CD245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0CD2BCCB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4F07B51B" w14:textId="795173C5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FD1495">
              <w:rPr>
                <w:rFonts w:ascii="Aptos" w:hAnsi="Aptos"/>
              </w:rPr>
              <w:t>Does it strengthen compliance and financial accuracy?</w:t>
            </w:r>
          </w:p>
        </w:tc>
        <w:tc>
          <w:tcPr>
            <w:tcW w:w="1132" w:type="dxa"/>
            <w:vAlign w:val="center"/>
          </w:tcPr>
          <w:p w14:paraId="75BBBDF3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E72F7C2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5B979748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1937BC6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720033DE" w14:textId="00F7F234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631126" w:rsidRPr="003E01A4" w14:paraId="37269E4F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31191E3F" w14:textId="44D352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  <w:r w:rsidRPr="00FD1495">
              <w:rPr>
                <w:rFonts w:ascii="Aptos" w:hAnsi="Aptos"/>
              </w:rPr>
              <w:t>Will our team adopt it with confidence?</w:t>
            </w:r>
          </w:p>
        </w:tc>
        <w:tc>
          <w:tcPr>
            <w:tcW w:w="1132" w:type="dxa"/>
            <w:vAlign w:val="center"/>
          </w:tcPr>
          <w:p w14:paraId="2BAA1468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36DD9221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6D3BC63D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1087" w:type="dxa"/>
            <w:vAlign w:val="center"/>
          </w:tcPr>
          <w:p w14:paraId="29311297" w14:textId="77777777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  <w:tc>
          <w:tcPr>
            <w:tcW w:w="5245" w:type="dxa"/>
            <w:vAlign w:val="center"/>
          </w:tcPr>
          <w:p w14:paraId="5AA2EB38" w14:textId="43136B24" w:rsidR="003E01A4" w:rsidRPr="003E01A4" w:rsidRDefault="003E01A4" w:rsidP="0063112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</w:rPr>
            </w:pPr>
          </w:p>
        </w:tc>
      </w:tr>
      <w:tr w:rsidR="00032796" w:rsidRPr="00982146" w14:paraId="463EA10D" w14:textId="77777777" w:rsidTr="006E5B2D">
        <w:trPr>
          <w:trHeight w:val="680"/>
        </w:trPr>
        <w:tc>
          <w:tcPr>
            <w:tcW w:w="4673" w:type="dxa"/>
            <w:vAlign w:val="center"/>
          </w:tcPr>
          <w:p w14:paraId="725F33B2" w14:textId="4ADF2A41" w:rsidR="00032796" w:rsidRPr="00982146" w:rsidRDefault="00032796" w:rsidP="00032796">
            <w:pPr>
              <w:widowControl w:val="0"/>
              <w:spacing w:before="60" w:after="60" w:line="280" w:lineRule="atLeast"/>
              <w:ind w:right="83"/>
              <w:jc w:val="right"/>
              <w:rPr>
                <w:rFonts w:ascii="Aptos" w:hAnsi="Aptos"/>
                <w:b/>
                <w:bCs/>
              </w:rPr>
            </w:pPr>
            <w:r w:rsidRPr="00982146">
              <w:rPr>
                <w:rFonts w:ascii="Aptos" w:hAnsi="Aptos"/>
                <w:b/>
                <w:bCs/>
              </w:rPr>
              <w:lastRenderedPageBreak/>
              <w:t>Total score</w:t>
            </w:r>
          </w:p>
        </w:tc>
        <w:tc>
          <w:tcPr>
            <w:tcW w:w="1132" w:type="dxa"/>
            <w:vAlign w:val="center"/>
          </w:tcPr>
          <w:p w14:paraId="494F3391" w14:textId="77777777" w:rsidR="00032796" w:rsidRPr="00982146" w:rsidRDefault="00032796" w:rsidP="0003279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  <w:b/>
                <w:bCs/>
              </w:rPr>
            </w:pPr>
          </w:p>
        </w:tc>
        <w:tc>
          <w:tcPr>
            <w:tcW w:w="1087" w:type="dxa"/>
            <w:vAlign w:val="center"/>
          </w:tcPr>
          <w:p w14:paraId="7E7A1DE9" w14:textId="64F77F71" w:rsidR="00032796" w:rsidRPr="00982146" w:rsidRDefault="00032796" w:rsidP="00032796">
            <w:pPr>
              <w:widowControl w:val="0"/>
              <w:spacing w:before="60" w:after="60" w:line="280" w:lineRule="atLeast"/>
              <w:ind w:right="83"/>
              <w:jc w:val="righ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/380</w:t>
            </w:r>
          </w:p>
        </w:tc>
        <w:tc>
          <w:tcPr>
            <w:tcW w:w="1087" w:type="dxa"/>
            <w:vAlign w:val="center"/>
          </w:tcPr>
          <w:p w14:paraId="2DDA647D" w14:textId="56A27F06" w:rsidR="00032796" w:rsidRPr="00982146" w:rsidRDefault="00032796" w:rsidP="00032796">
            <w:pPr>
              <w:widowControl w:val="0"/>
              <w:spacing w:before="60" w:after="60" w:line="280" w:lineRule="atLeast"/>
              <w:ind w:right="83"/>
              <w:jc w:val="righ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/380</w:t>
            </w:r>
          </w:p>
        </w:tc>
        <w:tc>
          <w:tcPr>
            <w:tcW w:w="1087" w:type="dxa"/>
            <w:vAlign w:val="center"/>
          </w:tcPr>
          <w:p w14:paraId="2E4DD82B" w14:textId="40B38A42" w:rsidR="00032796" w:rsidRPr="00982146" w:rsidRDefault="00032796" w:rsidP="00032796">
            <w:pPr>
              <w:widowControl w:val="0"/>
              <w:spacing w:before="60" w:after="60" w:line="280" w:lineRule="atLeast"/>
              <w:ind w:right="83"/>
              <w:jc w:val="righ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/380</w:t>
            </w:r>
          </w:p>
        </w:tc>
        <w:tc>
          <w:tcPr>
            <w:tcW w:w="5245" w:type="dxa"/>
            <w:vAlign w:val="center"/>
          </w:tcPr>
          <w:p w14:paraId="7B6AAB68" w14:textId="77777777" w:rsidR="00032796" w:rsidRPr="00982146" w:rsidRDefault="00032796" w:rsidP="00032796">
            <w:pPr>
              <w:widowControl w:val="0"/>
              <w:spacing w:before="60" w:after="60" w:line="280" w:lineRule="atLeast"/>
              <w:ind w:right="83"/>
              <w:rPr>
                <w:rFonts w:ascii="Aptos" w:hAnsi="Aptos"/>
                <w:b/>
                <w:bCs/>
              </w:rPr>
            </w:pPr>
          </w:p>
        </w:tc>
      </w:tr>
    </w:tbl>
    <w:p w14:paraId="60D6C45A" w14:textId="77777777" w:rsidR="005A6280" w:rsidRPr="003E01A4" w:rsidRDefault="005A6280" w:rsidP="003E01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rPr>
          <w:rFonts w:ascii="Aptos" w:hAnsi="Aptos"/>
          <w:b/>
          <w:bCs/>
          <w:sz w:val="28"/>
          <w:szCs w:val="28"/>
        </w:rPr>
      </w:pPr>
    </w:p>
    <w:sectPr w:rsidR="005A6280" w:rsidRPr="003E01A4" w:rsidSect="003E01A4">
      <w:pgSz w:w="16820" w:h="11900" w:orient="landscape"/>
      <w:pgMar w:top="1247" w:right="1247" w:bottom="1247" w:left="1247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2E361" w14:textId="77777777" w:rsidR="003B0E6D" w:rsidRDefault="003B0E6D" w:rsidP="00D03E12">
      <w:pPr>
        <w:spacing w:line="240" w:lineRule="auto"/>
      </w:pPr>
      <w:r>
        <w:separator/>
      </w:r>
    </w:p>
  </w:endnote>
  <w:endnote w:type="continuationSeparator" w:id="0">
    <w:p w14:paraId="5B032D86" w14:textId="77777777" w:rsidR="003B0E6D" w:rsidRDefault="003B0E6D" w:rsidP="00D03E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EF28B42-546F-4E9B-9352-0C2A2E26C22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C078FCD-01E2-4546-87E5-31C8DEC30D2C}"/>
    <w:embedBold r:id="rId3" w:fontKey="{47903362-E63B-4D0E-9E1E-4F470FAFE9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F52244-34B4-4096-803D-FDB8144623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798060-3A4A-4236-9CE3-06EE7BEC95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5657398"/>
      <w:docPartObj>
        <w:docPartGallery w:val="Page Numbers (Bottom of Page)"/>
        <w:docPartUnique/>
      </w:docPartObj>
    </w:sdtPr>
    <w:sdtContent>
      <w:p w14:paraId="65BD7939" w14:textId="5EDFC990" w:rsidR="00D03E12" w:rsidRDefault="00D03E1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9B5AD4" w14:textId="77777777" w:rsidR="00D03E12" w:rsidRDefault="00D03E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04240" w14:textId="77777777" w:rsidR="003B0E6D" w:rsidRDefault="003B0E6D" w:rsidP="00D03E12">
      <w:pPr>
        <w:spacing w:line="240" w:lineRule="auto"/>
      </w:pPr>
      <w:r>
        <w:separator/>
      </w:r>
    </w:p>
  </w:footnote>
  <w:footnote w:type="continuationSeparator" w:id="0">
    <w:p w14:paraId="7947BC5F" w14:textId="77777777" w:rsidR="003B0E6D" w:rsidRDefault="003B0E6D" w:rsidP="00D03E1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F075A9"/>
    <w:multiLevelType w:val="hybridMultilevel"/>
    <w:tmpl w:val="644628EE"/>
    <w:lvl w:ilvl="0" w:tplc="84563B1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82290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125"/>
    <w:rsid w:val="0002433C"/>
    <w:rsid w:val="00032796"/>
    <w:rsid w:val="00170713"/>
    <w:rsid w:val="00170BE5"/>
    <w:rsid w:val="001967D7"/>
    <w:rsid w:val="00240B62"/>
    <w:rsid w:val="0030590D"/>
    <w:rsid w:val="00361257"/>
    <w:rsid w:val="00367125"/>
    <w:rsid w:val="003B0E6D"/>
    <w:rsid w:val="003C5F64"/>
    <w:rsid w:val="003E01A4"/>
    <w:rsid w:val="00442E0F"/>
    <w:rsid w:val="00447A1A"/>
    <w:rsid w:val="00455773"/>
    <w:rsid w:val="00471146"/>
    <w:rsid w:val="004F28E1"/>
    <w:rsid w:val="005206D2"/>
    <w:rsid w:val="005973CE"/>
    <w:rsid w:val="005A6280"/>
    <w:rsid w:val="00631126"/>
    <w:rsid w:val="00654F89"/>
    <w:rsid w:val="006A2C37"/>
    <w:rsid w:val="006E5B2D"/>
    <w:rsid w:val="008C0164"/>
    <w:rsid w:val="00925D58"/>
    <w:rsid w:val="00954CEC"/>
    <w:rsid w:val="00982146"/>
    <w:rsid w:val="009962E4"/>
    <w:rsid w:val="00A5799D"/>
    <w:rsid w:val="00A95E51"/>
    <w:rsid w:val="00AD1287"/>
    <w:rsid w:val="00B83555"/>
    <w:rsid w:val="00BA2460"/>
    <w:rsid w:val="00C7385C"/>
    <w:rsid w:val="00D03E12"/>
    <w:rsid w:val="00D922E1"/>
    <w:rsid w:val="00D9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3F202"/>
  <w15:docId w15:val="{2A266200-47FC-4987-B9CD-C6C4F7152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5206D2"/>
    <w:pPr>
      <w:spacing w:line="240" w:lineRule="auto"/>
    </w:pPr>
  </w:style>
  <w:style w:type="table" w:styleId="TableGrid">
    <w:name w:val="Table Grid"/>
    <w:basedOn w:val="TableNormal"/>
    <w:uiPriority w:val="39"/>
    <w:rsid w:val="001967D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01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3E1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E12"/>
  </w:style>
  <w:style w:type="paragraph" w:styleId="Footer">
    <w:name w:val="footer"/>
    <w:basedOn w:val="Normal"/>
    <w:link w:val="FooterChar"/>
    <w:uiPriority w:val="99"/>
    <w:unhideWhenUsed/>
    <w:rsid w:val="00D03E1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9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Vonderscher</cp:lastModifiedBy>
  <cp:revision>20</cp:revision>
  <dcterms:created xsi:type="dcterms:W3CDTF">2026-03-03T11:43:00Z</dcterms:created>
  <dcterms:modified xsi:type="dcterms:W3CDTF">2026-04-07T11:26:00Z</dcterms:modified>
</cp:coreProperties>
</file>